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ind w:hanging="0" w:start="0"/>
        <w:jc w:val="start"/>
        <w:rPr>
          <w:b w:val="false"/>
          <w:sz w:val="16"/>
        </w:rPr>
      </w:pPr>
      <w:r>
        <w:rPr>
          <w:b w:val="false"/>
          <w:sz w:val="16"/>
        </w:rPr>
      </w:r>
    </w:p>
    <w:p>
      <w:pPr>
        <w:pStyle w:val="Heading3"/>
        <w:ind w:hanging="0" w:start="0"/>
        <w:rPr/>
      </w:pPr>
      <w:r>
        <w:rPr/>
        <w:t>APPLICATION</w:t>
      </w:r>
    </w:p>
    <w:p>
      <w:pPr>
        <w:pStyle w:val="Header"/>
        <w:tabs>
          <w:tab w:val="clear" w:pos="4153"/>
          <w:tab w:val="clear" w:pos="8306"/>
        </w:tabs>
        <w:rPr/>
      </w:pPr>
      <w:r>
        <w:rPr/>
      </w:r>
    </w:p>
    <w:p>
      <w:pPr>
        <w:pStyle w:val="BodyText"/>
        <w:jc w:val="start"/>
        <w:rPr>
          <w:sz w:val="22"/>
        </w:rPr>
      </w:pPr>
      <w:r>
        <w:rPr>
          <w:sz w:val="22"/>
        </w:rPr>
      </w:r>
    </w:p>
    <w:p>
      <w:pPr>
        <w:pStyle w:val="Normal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tbl>
      <w:tblPr>
        <w:tblW w:w="1037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ind w:end="-6878"/>
              <w:rPr/>
            </w:pPr>
            <w:r>
              <w:rPr>
                <w:rFonts w:cs="Arial" w:ascii="Arial" w:hAnsi="Arial"/>
                <w:sz w:val="20"/>
              </w:rPr>
              <w:t>TO</w:t>
            </w:r>
            <w:r>
              <w:rPr>
                <w:rFonts w:cs="Arial" w:ascii="Arial" w:hAnsi="Arial"/>
                <w:sz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6878"/>
              <w:rPr>
                <w:rFonts w:ascii="Arial" w:hAnsi="Arial" w:cs="Arial"/>
                <w:b/>
              </w:rPr>
            </w:pPr>
            <w:r>
              <w:rPr>
                <w:rFonts w:cs="Aptos" w:ascii="Katsoulidis" w:hAnsi="Katsoulidis"/>
                <w:b/>
                <w:bCs/>
                <w:sz w:val="20"/>
                <w:szCs w:val="20"/>
              </w:rPr>
              <w:t>MSc “Medical and Surgical Retina Modern Approaches</w:t>
            </w:r>
            <w:r>
              <w:rPr>
                <w:rFonts w:cs="Arial" w:ascii="Katsoulidis" w:hAnsi="Katsoulidis"/>
                <w:b/>
                <w:bCs/>
              </w:rPr>
              <w:t>”</w:t>
            </w:r>
          </w:p>
        </w:tc>
      </w:tr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ind w:end="-6878"/>
              <w:rPr/>
            </w:pPr>
            <w:r>
              <w:rPr>
                <w:rFonts w:cs="Arial" w:ascii="Arial" w:hAnsi="Arial"/>
                <w:sz w:val="16"/>
              </w:rPr>
              <w:t>First name:</w:t>
            </w:r>
          </w:p>
        </w:tc>
        <w:tc>
          <w:tcPr>
            <w:tcW w:w="374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ind w:end="-6878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Surname: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 xml:space="preserve">Father's full name: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Mother's full name: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ind w:end="-2332"/>
              <w:rPr/>
            </w:pPr>
            <w:r>
              <w:rPr>
                <w:rFonts w:cs="Arial" w:ascii="Arial" w:hAnsi="Arial"/>
                <w:sz w:val="16"/>
              </w:rPr>
              <w:t>Date of birth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Place of birth: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cs="Courier New" w:ascii="Courier New" w:hAnsi="Courier New"/>
                <w:b/>
                <w:sz w:val="20"/>
              </w:rPr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ID card number: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cs="Courier New" w:ascii="Courier New" w:hAnsi="Courier New"/>
                <w:b/>
                <w:sz w:val="20"/>
              </w:rPr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Tel: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cs="Courier New" w:ascii="Courier New" w:hAnsi="Courier New"/>
                <w:b/>
                <w:sz w:val="20"/>
              </w:rPr>
            </w:r>
          </w:p>
        </w:tc>
      </w:tr>
      <w:tr>
        <w:trPr>
          <w:cantSplit w:val="true"/>
        </w:trPr>
        <w:tc>
          <w:tcPr>
            <w:tcW w:w="169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Place of residence:</w:t>
            </w:r>
          </w:p>
        </w:tc>
        <w:tc>
          <w:tcPr>
            <w:tcW w:w="23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Street:</w:t>
            </w:r>
          </w:p>
        </w:tc>
        <w:tc>
          <w:tcPr>
            <w:tcW w:w="249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No:</w:t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PC:</w:t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trHeight w:val="520" w:hRule="atLeast"/>
          <w:cantSplit w:val="true"/>
        </w:trPr>
        <w:tc>
          <w:tcPr>
            <w:tcW w:w="235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Fax number</w:t>
            </w:r>
            <w:r>
              <w:rPr>
                <w:rFonts w:cs="Arial" w:ascii="Arial" w:hAnsi="Arial"/>
                <w:sz w:val="16"/>
                <w:lang w:val="en-US"/>
              </w:rPr>
              <w:t/>
            </w:r>
            <w:r>
              <w:rPr>
                <w:rFonts w:cs="Arial" w:ascii="Arial" w:hAnsi="Arial"/>
                <w:sz w:val="16"/>
              </w:rPr>
              <w:t>:</w:t>
            </w:r>
          </w:p>
        </w:tc>
        <w:tc>
          <w:tcPr>
            <w:tcW w:w="315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E-mail address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/>
            </w:r>
            <w:r>
              <w:rPr>
                <w:rFonts w:cs="Arial" w:ascii="Arial" w:hAnsi="Arial"/>
                <w:sz w:val="16"/>
                <w:lang w:val="en-US"/>
              </w:rPr>
              <w:t/>
            </w:r>
            <w:r>
              <w:rPr>
                <w:rFonts w:cs="Arial" w:ascii="Arial" w:hAnsi="Arial"/>
                <w:sz w:val="16"/>
              </w:rPr>
              <w:t>:</w:t>
            </w:r>
          </w:p>
        </w:tc>
        <w:tc>
          <w:tcPr>
            <w:tcW w:w="342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end="-6878"/>
              <w:rPr>
                <w:rFonts w:ascii="Courier New" w:hAnsi="Courier New" w:cs="Courier New"/>
                <w:b/>
                <w:sz w:val="20"/>
              </w:rPr>
            </w:pPr>
            <w:r>
              <w:rPr>
                <w:rFonts w:cs="Courier New" w:ascii="Courier New" w:hAnsi="Courier New"/>
                <w:b/>
                <w:sz w:val="20"/>
              </w:rPr>
            </w:r>
          </w:p>
        </w:tc>
      </w:tr>
    </w:tbl>
    <w:p>
      <w:pPr>
        <w:pStyle w:val="Normal"/>
        <w:rPr>
          <w:rFonts w:ascii="Arial" w:hAnsi="Arial" w:cs="Arial"/>
          <w:b/>
          <w:sz w:val="28"/>
        </w:rPr>
      </w:pPr>
      <w:r>
        <w:rPr>
          <w:rFonts w:cs="Arial" w:ascii="Arial" w:hAnsi="Arial"/>
          <w:b/>
          <w:sz w:val="28"/>
        </w:rPr>
      </w:r>
    </w:p>
    <w:p>
      <w:pPr>
        <w:pStyle w:val="Normal"/>
        <w:rPr>
          <w:rFonts w:ascii="Arial" w:hAnsi="Arial" w:cs="Arial"/>
          <w:b/>
          <w:sz w:val="16"/>
        </w:rPr>
      </w:pPr>
      <w:r>
        <w:rPr>
          <w:rFonts w:cs="Arial" w:ascii="Arial" w:hAnsi="Arial"/>
          <w:b/>
          <w:sz w:val="16"/>
        </w:rPr>
      </w:r>
    </w:p>
    <w:p>
      <w:pPr>
        <w:sectPr>
          <w:type w:val="nextPage"/>
          <w:pgSz w:w="11906" w:h="16838"/>
          <w:pgMar w:left="851" w:right="851" w:gutter="0" w:header="0" w:top="1243" w:footer="0" w:bottom="1440"/>
          <w:pgBorders w:display="allPages"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420"/>
      </w:tblGrid>
      <w:tr>
        <w:trPr/>
        <w:tc>
          <w:tcPr>
            <w:tcW w:w="10420" w:type="dxa"/>
            <w:tcBorders/>
          </w:tcPr>
          <w:p>
            <w:pPr>
              <w:pStyle w:val="Normal"/>
              <w:snapToGrid w:val="false"/>
              <w:ind w:end="124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</w:r>
          </w:p>
        </w:tc>
      </w:tr>
      <w:tr>
        <w:trPr/>
        <w:tc>
          <w:tcPr>
            <w:tcW w:w="10420" w:type="dxa"/>
            <w:tcBorders>
              <w:bottom w:val="dashed" w:sz="4" w:space="0" w:color="000000"/>
            </w:tcBorders>
          </w:tcPr>
          <w:p>
            <w:pPr>
              <w:pStyle w:val="Normal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Katsoulidis" w:ascii="Katsoulidis" w:hAnsi="Katsoulidis"/>
              </w:rPr>
              <w:t xml:space="preserve">I hereby request a Suspension of Studies from the MSc </w:t>
            </w:r>
            <w:r>
              <w:rPr>
                <w:rFonts w:cs="Arial" w:ascii="Katsoulidis" w:hAnsi="Katsoulidis"/>
              </w:rPr>
              <w:t xml:space="preserve"> </w:t>
            </w:r>
            <w:r>
              <w:rPr>
                <w:rFonts w:cs="Arial" w:ascii="Katsoulidis" w:hAnsi="Katsoulidis"/>
                <w:b/>
                <w:bCs/>
              </w:rPr>
              <w:t>“</w:t>
            </w:r>
            <w:bookmarkStart w:id="0" w:name="_Hlk103414920"/>
            <w:r>
              <w:rPr>
                <w:rFonts w:cs="Aptos" w:ascii="Katsoulidis" w:hAnsi="Katsoulidis"/>
                <w:b/>
                <w:bCs/>
              </w:rPr>
              <w:t xml:space="preserve">Medical and Surgical Retina </w:t>
            </w:r>
            <w:bookmarkEnd w:id="0"/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ptos" w:ascii="Katsoulidis" w:hAnsi="Katsoulidis"/>
                <w:b/>
                <w:bCs/>
              </w:rPr>
              <w:t>Modern Approaches</w:t>
            </w:r>
            <w:r>
              <w:rPr>
                <w:rFonts w:cs="Arial" w:ascii="Katsoulidis" w:hAnsi="Katsoulidis"/>
                <w:b/>
                <w:bCs/>
              </w:rPr>
              <w:t>”</w:t>
            </w:r>
            <w:r>
              <w:rPr>
                <w:rFonts w:cs="Katsoulidis" w:ascii="Katsoulidis" w:hAnsi="Katsoulidis"/>
              </w:rPr>
              <w:t xml:space="preserve"> for the period from     /     /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due to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end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>
            <w:pPr>
              <w:pStyle w:val="Normal"/>
              <w:spacing w:before="60" w:after="0"/>
              <w:ind w:end="125"/>
              <w:jc w:val="end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eastAsia="Arial" w:cs="Arial" w:ascii="Arial" w:hAnsi="Arial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BodyTextIndent"/>
        <w:ind w:start="0" w:end="484"/>
        <w:jc w:val="end"/>
        <w:rPr>
          <w:sz w:val="16"/>
          <w:szCs w:val="16"/>
        </w:rPr>
      </w:pPr>
      <w:r>
        <w:rPr>
          <w:sz w:val="16"/>
          <w:szCs w:val="16"/>
        </w:rPr>
        <w:t xml:space="preserve">Date:      </w:t>
      </w:r>
      <w:r>
        <w:rPr>
          <w:color w:val="000000"/>
          <w:sz w:val="18"/>
          <w:szCs w:val="16"/>
        </w:rPr>
        <w:t>…</w:t>
      </w:r>
      <w:r>
        <w:rPr>
          <w:color w:val="000000"/>
          <w:sz w:val="18"/>
          <w:szCs w:val="16"/>
          <w:lang w:val="en-US"/>
        </w:rPr>
        <w:t xml:space="preserve"> </w:t>
      </w:r>
      <w:r>
        <w:rPr>
          <w:color w:val="000000"/>
          <w:sz w:val="18"/>
          <w:szCs w:val="16"/>
        </w:rPr>
        <w:t>/…/ 20…</w:t>
      </w:r>
    </w:p>
    <w:p>
      <w:pPr>
        <w:pStyle w:val="BodyTextIndent"/>
        <w:ind w:start="0" w:end="484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Indent"/>
        <w:ind w:start="0" w:end="484"/>
        <w:jc w:val="end"/>
        <w:rPr>
          <w:sz w:val="16"/>
        </w:rPr>
      </w:pPr>
      <w:r>
        <w:rPr>
          <w:sz w:val="16"/>
        </w:rPr>
        <w:t>The applicant</w:t>
      </w:r>
    </w:p>
    <w:p>
      <w:pPr>
        <w:pStyle w:val="BodyTextIndent"/>
        <w:ind w:start="0" w:end="0"/>
        <w:jc w:val="end"/>
        <w:rPr>
          <w:sz w:val="16"/>
        </w:rPr>
      </w:pPr>
      <w:r>
        <w:rPr>
          <w:sz w:val="16"/>
        </w:rPr>
      </w:r>
    </w:p>
    <w:p>
      <w:pPr>
        <w:pStyle w:val="BodyTextIndent"/>
        <w:ind w:start="0" w:end="0"/>
        <w:jc w:val="end"/>
        <w:rPr>
          <w:sz w:val="16"/>
        </w:rPr>
      </w:pPr>
      <w:r>
        <w:rPr>
          <w:sz w:val="16"/>
        </w:rPr>
      </w:r>
    </w:p>
    <w:p>
      <w:pPr>
        <w:pStyle w:val="BodyTextIndent"/>
        <w:ind w:start="0" w:end="0"/>
        <w:jc w:val="end"/>
        <w:rPr>
          <w:sz w:val="16"/>
        </w:rPr>
      </w:pPr>
      <w:r>
        <w:rPr>
          <w:sz w:val="16"/>
        </w:rPr>
      </w:r>
    </w:p>
    <w:p>
      <w:pPr>
        <w:pStyle w:val="BodyTextIndent"/>
        <w:ind w:start="0" w:end="0"/>
        <w:jc w:val="end"/>
        <w:rPr>
          <w:sz w:val="16"/>
        </w:rPr>
      </w:pPr>
      <w:r>
        <w:rPr>
          <w:sz w:val="16"/>
        </w:rPr>
      </w:r>
    </w:p>
    <w:p>
      <w:pPr>
        <w:pStyle w:val="BodyTextIndent"/>
        <w:ind w:start="0" w:end="484"/>
        <w:jc w:val="end"/>
        <w:rPr>
          <w:sz w:val="16"/>
        </w:rPr>
      </w:pPr>
      <w:r>
        <w:rPr>
          <w:sz w:val="16"/>
        </w:rPr>
        <w:t>(Signature)</w:t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BodyTextIndent"/>
        <w:jc w:val="both"/>
        <w:rPr>
          <w:rFonts w:ascii="Arial" w:hAnsi="Arial" w:cs="Arial"/>
          <w:sz w:val="18"/>
        </w:rPr>
      </w:pPr>
      <w:r>
        <w:rPr>
          <w:rFonts w:cs="Arial"/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>
          <w:rFonts w:eastAsia="Arial"/>
          <w:sz w:val="18"/>
        </w:rPr>
      </w:pPr>
      <w:r>
        <w:rPr>
          <w:rFonts w:eastAsia="Arial"/>
          <w:sz w:val="18"/>
        </w:rPr>
        <w:t xml:space="preserve"> </w:t>
      </w:r>
    </w:p>
    <w:tbl>
      <w:tblPr>
        <w:tblW w:w="104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420"/>
      </w:tblGrid>
      <w:tr>
        <w:trPr/>
        <w:tc>
          <w:tcPr>
            <w:tcW w:w="10420" w:type="dxa"/>
            <w:tcBorders/>
          </w:tcPr>
          <w:p>
            <w:pPr>
              <w:pStyle w:val="Normal"/>
              <w:snapToGrid w:val="false"/>
              <w:spacing w:before="120" w:after="0"/>
              <w:rPr>
                <w:rFonts w:ascii="Courier New" w:hAnsi="Courier New" w:cs="Courier New"/>
                <w:b/>
                <w:color w:val="000080"/>
              </w:rPr>
            </w:pPr>
            <w:r>
              <w:rPr>
                <w:rFonts w:cs="Courier New" w:ascii="Courier New" w:hAnsi="Courier New"/>
                <w:b/>
                <w:color w:val="000080"/>
              </w:rPr>
            </w:r>
          </w:p>
        </w:tc>
      </w:tr>
    </w:tbl>
    <w:p>
      <w:pPr>
        <w:pStyle w:val="Normal"/>
        <w:ind w:end="423"/>
        <w:jc w:val="end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sectPr>
      <w:type w:val="continuous"/>
      <w:pgSz w:w="11906" w:h="16838"/>
      <w:pgMar w:left="1222" w:right="1222" w:gutter="0" w:header="0" w:top="1243" w:footer="0" w:bottom="144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entury Gothic">
    <w:charset w:val="a1" w:characterSet="windows-1253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Katsoulidis">
    <w:charset w:val="00" w:characterSet="windows-1252"/>
    <w:family w:val="moder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pStyle w:val="Heading5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l-G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end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end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eastAsia="Times New Roman" w:cs="Arial"/>
    </w:rPr>
  </w:style>
  <w:style w:type="character" w:styleId="WW8Num4z1">
    <w:name w:val="WW8Num4z1"/>
    <w:qFormat/>
    <w:rPr>
      <w:rFonts w:ascii="Courier New" w:hAnsi="Courier New" w:cs="Century Gothic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cs="Arial"/>
      <w:sz w:val="22"/>
    </w:rPr>
  </w:style>
  <w:style w:type="character" w:styleId="WW8Num8z0">
    <w:name w:val="WW8Num8z0"/>
    <w:qFormat/>
    <w:rPr>
      <w:rFonts w:cs="Times New Roman"/>
    </w:rPr>
  </w:style>
  <w:style w:type="character" w:styleId="WW8Num9z0">
    <w:name w:val="WW8Num9z0"/>
    <w:qFormat/>
    <w:rPr>
      <w:b/>
    </w:rPr>
  </w:style>
  <w:style w:type="character" w:styleId="WW8Num10z0">
    <w:name w:val="WW8Num10z0"/>
    <w:qFormat/>
    <w:rPr>
      <w:b/>
    </w:rPr>
  </w:style>
  <w:style w:type="character" w:styleId="Style5">
    <w:name w:val="Προεπιλεγμένη γραμματοσειρά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20"/>
      <w:jc w:val="center"/>
    </w:pPr>
    <w:rPr>
      <w:rFonts w:ascii="Arial" w:hAnsi="Arial" w:cs="Arial"/>
      <w:sz w:val="28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">
    <w:name w:val="Σώμα κείμενου 2"/>
    <w:basedOn w:val="Normal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3">
    <w:name w:val="Σώμα κείμενου 3"/>
    <w:basedOn w:val="Normal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Rule="atLeast" w:line="280"/>
      <w:jc w:val="both"/>
    </w:pPr>
    <w:rPr>
      <w:sz w:val="20"/>
    </w:rPr>
  </w:style>
  <w:style w:type="paragraph" w:styleId="BodyTextIndent">
    <w:name w:val="Body Text Indent"/>
    <w:basedOn w:val="Normal"/>
    <w:pPr>
      <w:ind w:hanging="0" w:start="-180" w:end="0"/>
    </w:pPr>
    <w:rPr>
      <w:rFonts w:ascii="Arial" w:hAnsi="Arial" w:cs="Arial"/>
      <w:sz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2026-09-23T05:28:00Z</dcterms:created>
  <dc:creator>ypeythini-dilosi.eu</dc:creator>
  <dc:description/>
  <cp:keywords>Υπεύθυνη Δήλωση Ν.1599/1986 νόμου 105</cp:keywords>
  <dc:language>en-US</dc:language>
  <cp:lastModifiedBy>s kallia</cp:lastModifiedBy>
  <cp:lastPrinted>2004-03-21T21:55:00Z</cp:lastPrinted>
  <dcterms:modified xsi:type="dcterms:W3CDTF">2026-09-23T05:28:00Z</dcterms:modified>
  <cp:revision>2</cp:revision>
  <dc:subject>Υπεύθυνη Δήλωση - 2 σελίδες</dc:subject>
  <dc:title>Υπεύθυνη Δήλωση Ν. 1599/86</dc:title>
</cp:coreProperties>
</file>